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10180" cy="2710180"/>
            <wp:effectExtent l="0" t="0" r="0" b="0"/>
            <wp:docPr id="2" name="图片 2" descr="D:\.huxi\.huxishiye\产品图片\实验型超声波粉碎机\超声波细胞破碎仪产品图1.png超声波细胞破碎仪产品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实验型超声波粉碎机\超声波细胞破碎仪产品图1.png超声波细胞破碎仪产品图1"/>
                    <pic:cNvPicPr>
                      <a:picLocks noChangeAspect="1"/>
                    </pic:cNvPicPr>
                  </pic:nvPicPr>
                  <pic:blipFill>
                    <a:blip r:embed="rId6"/>
                    <a:srcRect/>
                    <a:stretch>
                      <a:fillRect/>
                    </a:stretch>
                  </pic:blipFill>
                  <pic:spPr>
                    <a:xfrm>
                      <a:off x="0" y="0"/>
                      <a:ext cx="2710180" cy="271018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JY99-IIDN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JY99-IIDN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Ultrasonic Ultrasonic Homogenizer is a multi-functional and multi-purpose instrument that uses strong ultrasound to produce cavitation effect in liquid and ultrasonically treat substances. It can be used for a variety of animal and plant cells and viruses. Cell disruption can also be used for emulsification, separation, extraction, defoaming, degassing, cleaning and accelerating chemical reactions, etc. It is used in the teaching, research and production of biochemistry, microbiology, medicinal chemistry, surface chemistry, physics, zoology, agronomy, pharmacy and other fields.</w:t>
      </w:r>
    </w:p>
    <w:p>
      <w:pPr>
        <w:pStyle w:val="10"/>
        <w:numPr>
          <w:ilvl w:val="0"/>
          <w:numId w:val="0"/>
        </w:numPr>
        <w:spacing w:before="0" w:beforeAutospacing="0" w:after="0" w:afterAutospacing="0" w:line="360" w:lineRule="auto"/>
        <w:ind w:leftChars="0"/>
        <w:rPr>
          <w:rFonts w:hint="eastAsia" w:cs="Times New Roman"/>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Full-featured, beautiful appearance, reliable performance, using the latest single-chip technology + 4.3-inch TFT capacitive touch screen control (7-inch optional), optional computer communication or data printing functions.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High degree of intelligence, centralized control by the central computer, ultrasonic time and power can be set from 1%-100%.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Sample temperature detection and display, frequency microcomputer automatic tracking, automatic fault alarm.</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One set of soundproof box, reducing noise by more than 70%.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Supporting Alcoa 7075 transducer + a set of high-purity titanium alloy horns, industrial horns can continuously achieve ultrasound for more than one hour (only high-purity titanium alloys can be achieved)</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With overload protection function and the horn is not immersed in liquid, it will automatically protect the horn from damage.</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It can realize the voice alarm function caused by malfunction, over-temperature or operation error, which is more humane.</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2997"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eastAsia" w:ascii="宋体" w:hAnsi="宋体" w:eastAsia="宋体" w:cs="宋体"/>
                <w:i w:val="0"/>
                <w:iCs w:val="0"/>
                <w:caps w:val="0"/>
                <w:color w:val="2F5496"/>
                <w:spacing w:val="0"/>
                <w:sz w:val="24"/>
                <w:szCs w:val="24"/>
                <w:shd w:val="clear" w:fill="FFFFFF"/>
              </w:rPr>
              <w:t>JY99-IIDN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Power</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50-1800WContinuously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Crushing capacity</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1-1200ML(</w:t>
            </w:r>
            <w:r>
              <w:rPr>
                <w:rFonts w:hint="default" w:ascii="Times New Roman" w:hAnsi="Times New Roman" w:cs="Times New Roman"/>
                <w:b w:val="0"/>
                <w:bCs w:val="0"/>
                <w:i w:val="0"/>
                <w:iCs w:val="0"/>
                <w:caps w:val="0"/>
                <w:color w:val="666666"/>
                <w:spacing w:val="0"/>
                <w:sz w:val="21"/>
                <w:szCs w:val="21"/>
              </w:rPr>
              <w:t> </w:t>
            </w:r>
            <w:r>
              <w:rPr>
                <w:rFonts w:hint="eastAsia" w:ascii="宋体" w:hAnsi="宋体" w:eastAsia="宋体" w:cs="宋体"/>
                <w:b w:val="0"/>
                <w:bCs w:val="0"/>
                <w:i w:val="0"/>
                <w:iCs w:val="0"/>
                <w:caps w:val="0"/>
                <w:color w:val="2F5496"/>
                <w:spacing w:val="0"/>
                <w:sz w:val="24"/>
                <w:szCs w:val="24"/>
              </w:rPr>
              <w:t>Need to match the corresponding horn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Display method</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True color capacitive touch screen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1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ultrasound time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gap time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Total time (ultrasound + gap)</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Frequency Range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19.5-20.5KHz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control range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0-100 degrees (Optional low temperature and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Alarm function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Random Horn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Φ22(mm)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Optional horn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 Φ3、6、10、15、20、25（mm）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Duty cycle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Data storage</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Power supply (optional 110V)</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0"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Net size of the instrument (D*W*H)</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net weight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gross weight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71"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Host packaging (length * width * height)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470*305*430（mm）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Gross weight of soundproof box</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10kg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9"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Outer packing of soundproof box (length * width * height)</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350*350*550（mm）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way to control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MCU + 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29"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Optional function</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Computer communication + data printing + soundproof box lighting or sterilization</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B3181"/>
    <w:multiLevelType w:val="singleLevel"/>
    <w:tmpl w:val="D30B318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26CA7"/>
    <w:rsid w:val="241D3C4F"/>
    <w:rsid w:val="246A0583"/>
    <w:rsid w:val="24AE6CFC"/>
    <w:rsid w:val="24E0163D"/>
    <w:rsid w:val="295A600F"/>
    <w:rsid w:val="29814031"/>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834181E"/>
    <w:rsid w:val="495E06EB"/>
    <w:rsid w:val="498B526A"/>
    <w:rsid w:val="4A075C8C"/>
    <w:rsid w:val="4A527F2C"/>
    <w:rsid w:val="4AA4627F"/>
    <w:rsid w:val="4ADC76DB"/>
    <w:rsid w:val="4BDB1490"/>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2024-03-12T07:13:45Z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