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482340" cy="3482340"/>
            <wp:effectExtent l="0" t="0" r="3810" b="3810"/>
            <wp:docPr id="3" name="图片 3" descr="HT-X330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X330GB"/>
                    <pic:cNvPicPr>
                      <a:picLocks noChangeAspect="1"/>
                    </pic:cNvPicPr>
                  </pic:nvPicPr>
                  <pic:blipFill>
                    <a:blip r:embed="rId6"/>
                    <a:stretch>
                      <a:fillRect/>
                    </a:stretch>
                  </pic:blipFill>
                  <pic:spPr>
                    <a:xfrm>
                      <a:off x="0" y="0"/>
                      <a:ext cx="3482340" cy="3482340"/>
                    </a:xfrm>
                    <a:prstGeom prst="rect">
                      <a:avLst/>
                    </a:prstGeom>
                  </pic:spPr>
                </pic:pic>
              </a:graphicData>
            </a:graphic>
          </wp:inline>
        </w:drawing>
      </w:r>
      <w:bookmarkStart w:id="0" w:name="_GoBack"/>
      <w:bookmarkEnd w:id="0"/>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HT-</w:t>
                            </w:r>
                            <w:r>
                              <w:rPr>
                                <w:rFonts w:hint="eastAsia" w:cs="Times New Roman"/>
                                <w:b/>
                                <w:bCs/>
                                <w:color w:val="2F5597" w:themeColor="accent1" w:themeShade="BF"/>
                                <w:kern w:val="2"/>
                                <w:sz w:val="28"/>
                                <w:szCs w:val="28"/>
                                <w:lang w:val="en-US" w:eastAsia="zh-CN" w:bidi="ar-SA"/>
                              </w:rPr>
                              <w:t>X</w:t>
                            </w:r>
                            <w:r>
                              <w:rPr>
                                <w:rFonts w:hint="eastAsia" w:ascii="宋体" w:hAnsi="宋体" w:eastAsia="宋体" w:cs="Times New Roman"/>
                                <w:b/>
                                <w:bCs/>
                                <w:color w:val="2F5597" w:themeColor="accent1" w:themeShade="BF"/>
                                <w:kern w:val="2"/>
                                <w:sz w:val="28"/>
                                <w:szCs w:val="28"/>
                                <w:lang w:val="en-US" w:eastAsia="zh-CN" w:bidi="ar-SA"/>
                              </w:rPr>
                              <w:t>330</w:t>
                            </w:r>
                            <w:r>
                              <w:rPr>
                                <w:rFonts w:hint="eastAsia" w:cs="Times New Roman"/>
                                <w:b/>
                                <w:bCs/>
                                <w:color w:val="2F5597" w:themeColor="accent1" w:themeShade="BF"/>
                                <w:kern w:val="2"/>
                                <w:sz w:val="28"/>
                                <w:szCs w:val="28"/>
                                <w:lang w:val="en-US" w:eastAsia="zh-CN" w:bidi="ar-SA"/>
                              </w:rPr>
                              <w:t>GB</w:t>
                            </w:r>
                            <w:r>
                              <w:rPr>
                                <w:rFonts w:hint="eastAsia" w:ascii="宋体" w:hAnsi="宋体" w:eastAsia="宋体" w:cs="Times New Roman"/>
                                <w:b/>
                                <w:bCs/>
                                <w:color w:val="2F5597" w:themeColor="accent1" w:themeShade="BF"/>
                                <w:kern w:val="2"/>
                                <w:sz w:val="28"/>
                                <w:szCs w:val="28"/>
                                <w:lang w:val="en-US" w:eastAsia="zh-CN" w:bidi="ar-SA"/>
                              </w:rPr>
                              <w:t xml:space="preserve"> </w:t>
                            </w:r>
                            <w:r>
                              <w:rPr>
                                <w:rFonts w:hint="eastAsia" w:cs="Times New Roman"/>
                                <w:b/>
                                <w:bCs/>
                                <w:color w:val="2F5597" w:themeColor="accent1" w:themeShade="BF"/>
                                <w:kern w:val="2"/>
                                <w:sz w:val="28"/>
                                <w:szCs w:val="28"/>
                                <w:lang w:val="en-US" w:eastAsia="zh-CN" w:bidi="ar-SA"/>
                              </w:rPr>
                              <w:t>Heating Orbital Shaker</w:t>
                            </w: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HT-</w:t>
                      </w:r>
                      <w:r>
                        <w:rPr>
                          <w:rFonts w:hint="eastAsia" w:cs="Times New Roman"/>
                          <w:b/>
                          <w:bCs/>
                          <w:color w:val="2F5597" w:themeColor="accent1" w:themeShade="BF"/>
                          <w:kern w:val="2"/>
                          <w:sz w:val="28"/>
                          <w:szCs w:val="28"/>
                          <w:lang w:val="en-US" w:eastAsia="zh-CN" w:bidi="ar-SA"/>
                        </w:rPr>
                        <w:t>X</w:t>
                      </w:r>
                      <w:r>
                        <w:rPr>
                          <w:rFonts w:hint="eastAsia" w:ascii="宋体" w:hAnsi="宋体" w:eastAsia="宋体" w:cs="Times New Roman"/>
                          <w:b/>
                          <w:bCs/>
                          <w:color w:val="2F5597" w:themeColor="accent1" w:themeShade="BF"/>
                          <w:kern w:val="2"/>
                          <w:sz w:val="28"/>
                          <w:szCs w:val="28"/>
                          <w:lang w:val="en-US" w:eastAsia="zh-CN" w:bidi="ar-SA"/>
                        </w:rPr>
                        <w:t>330</w:t>
                      </w:r>
                      <w:r>
                        <w:rPr>
                          <w:rFonts w:hint="eastAsia" w:cs="Times New Roman"/>
                          <w:b/>
                          <w:bCs/>
                          <w:color w:val="2F5597" w:themeColor="accent1" w:themeShade="BF"/>
                          <w:kern w:val="2"/>
                          <w:sz w:val="28"/>
                          <w:szCs w:val="28"/>
                          <w:lang w:val="en-US" w:eastAsia="zh-CN" w:bidi="ar-SA"/>
                        </w:rPr>
                        <w:t>GB</w:t>
                      </w:r>
                      <w:r>
                        <w:rPr>
                          <w:rFonts w:hint="eastAsia" w:ascii="宋体" w:hAnsi="宋体" w:eastAsia="宋体" w:cs="Times New Roman"/>
                          <w:b/>
                          <w:bCs/>
                          <w:color w:val="2F5597" w:themeColor="accent1" w:themeShade="BF"/>
                          <w:kern w:val="2"/>
                          <w:sz w:val="28"/>
                          <w:szCs w:val="28"/>
                          <w:lang w:val="en-US" w:eastAsia="zh-CN" w:bidi="ar-SA"/>
                        </w:rPr>
                        <w:t xml:space="preserve"> </w:t>
                      </w:r>
                      <w:r>
                        <w:rPr>
                          <w:rFonts w:hint="eastAsia" w:cs="Times New Roman"/>
                          <w:b/>
                          <w:bCs/>
                          <w:color w:val="2F5597" w:themeColor="accent1" w:themeShade="BF"/>
                          <w:kern w:val="2"/>
                          <w:sz w:val="28"/>
                          <w:szCs w:val="28"/>
                          <w:lang w:val="en-US" w:eastAsia="zh-CN" w:bidi="ar-SA"/>
                        </w:rPr>
                        <w:t>Heating Orbital Shaker</w:t>
                      </w: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HT-X330GB new generation circumferential shaker adopts DC brushless motor and microcomputer control technology,unique knob operation mode is simple and easy to use. By changing different trays, it is able to mix and incubate all kinds of commonly used flasks, petri dishes and beakers. It is suitable for biotechnology, microbiology and medical analysis, coloring or decolorization of colloids and combinatorial chemistry, etc. The heating series integrates oscillation and heating functions to meet the needs of both heating and at the same time completely open experimental samples, gyratory or reciprocal oscillation, mixing and cultivation of samples.</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Large screen LCD display of timing time, speed and temperature values with easy-to-understand operating interface;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Locked operation mode to prevent misoperation;</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DC brushless motor drive, low noise, accurate speed, long service life and maintenance-free;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A variety of trays, shakers and clamps are available for a wide range of needs;</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Easy accessory replacement, greatly improving working efficiency;</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Soft start, uniform acceleration, effectively avoiding sample splash;</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Optional RS232 interface, which can be connected to computer through RS232 interface, and can realize the setting of instrument</w:t>
      </w:r>
      <w:r>
        <w:rPr>
          <w:rFonts w:hint="eastAsia" w:cs="Times New Roman"/>
          <w:b w:val="0"/>
          <w:bCs w:val="0"/>
          <w:color w:val="2F5597" w:themeColor="accent1" w:themeShade="BF"/>
          <w:kern w:val="2"/>
          <w:lang w:val="en-US" w:eastAsia="zh-CN"/>
        </w:rPr>
        <w:t xml:space="preserve"> </w:t>
      </w:r>
      <w:r>
        <w:rPr>
          <w:rFonts w:hint="default" w:cs="Times New Roman"/>
          <w:b w:val="0"/>
          <w:bCs w:val="0"/>
          <w:color w:val="2F5597" w:themeColor="accent1" w:themeShade="BF"/>
          <w:kern w:val="2"/>
          <w:lang w:val="en-US" w:eastAsia="zh-CN"/>
        </w:rPr>
        <w:t>parameters and real-time display of working curve from computer side;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The highest temperature of heating series can reach over 75℃, which makes up the blank of domestic oscillator that cannot operate at high temperature.</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HT-X330GB</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Item No</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1024019001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Shaking mode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Orbital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Heating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35/185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Amplitude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Max load</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7.5kg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type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DC Brushless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Output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60~400rpm（</w:t>
            </w:r>
            <w:r>
              <w:rPr>
                <w:rFonts w:hint="default" w:cs="Times New Roman"/>
                <w:b w:val="0"/>
                <w:bCs w:val="0"/>
                <w:color w:val="2F5597" w:themeColor="accent1" w:themeShade="BF"/>
                <w:kern w:val="2"/>
                <w:lang w:val="en-US" w:eastAsia="zh-CN"/>
              </w:rPr>
              <w:t>optional to500</w:t>
            </w:r>
            <w:r>
              <w:rPr>
                <w:rFonts w:hint="eastAsia" w:cs="Times New Roman"/>
                <w:b w:val="0"/>
                <w:bCs w:val="0"/>
                <w:color w:val="2F5597" w:themeColor="accent1" w:themeShade="BF"/>
                <w:kern w:val="2"/>
                <w:lang w:val="en-US" w:eastAsia="zh-CN"/>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display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Timer function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yes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Timer set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0~99h</w:t>
            </w:r>
            <w:r>
              <w:rPr>
                <w:rFonts w:hint="default" w:cs="Times New Roman"/>
                <w:b w:val="0"/>
                <w:bCs w:val="0"/>
                <w:color w:val="2F5597" w:themeColor="accent1" w:themeShade="BF"/>
                <w:kern w:val="2"/>
                <w:lang w:val="en-US" w:eastAsia="zh-CN"/>
              </w:rPr>
              <w:t>59</w:t>
            </w:r>
            <w:r>
              <w:rPr>
                <w:rFonts w:hint="eastAsia" w:cs="Times New Roman"/>
                <w:b w:val="0"/>
                <w:bCs w:val="0"/>
                <w:color w:val="2F5597" w:themeColor="accent1" w:themeShade="BF"/>
                <w:kern w:val="2"/>
                <w:lang w:val="en-US" w:eastAsia="zh-CN"/>
              </w:rPr>
              <w:t>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59"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Power Supply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100~240V,50/60HZ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NW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7kg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2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temperature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humidity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Dimension（</w:t>
            </w:r>
            <w:r>
              <w:rPr>
                <w:rFonts w:hint="default" w:cs="Times New Roman"/>
                <w:b w:val="0"/>
                <w:bCs w:val="0"/>
                <w:color w:val="2F5597" w:themeColor="accent1" w:themeShade="BF"/>
                <w:kern w:val="2"/>
                <w:lang w:val="en-US" w:eastAsia="zh-CN"/>
              </w:rPr>
              <w:t>L*W*H</w:t>
            </w:r>
            <w:r>
              <w:rPr>
                <w:rFonts w:hint="eastAsia" w:cs="Times New Roman"/>
                <w:b w:val="0"/>
                <w:bCs w:val="0"/>
                <w:color w:val="2F5597" w:themeColor="accent1" w:themeShade="BF"/>
                <w:kern w:val="2"/>
                <w:lang w:val="en-US" w:eastAsia="zh-CN"/>
              </w:rPr>
              <w:t>）</w:t>
            </w:r>
            <w:r>
              <w:rPr>
                <w:rFonts w:hint="default" w:cs="Times New Roman"/>
                <w:b w:val="0"/>
                <w:bCs w:val="0"/>
                <w:color w:val="2F5597" w:themeColor="accent1" w:themeShade="BF"/>
                <w:kern w:val="2"/>
                <w:lang w:val="en-US" w:eastAsia="zh-CN"/>
              </w:rPr>
              <w:t>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330*370*130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Shell class</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IP21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Data</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RS232 optional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Temperature set</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RT+5～</w:t>
            </w:r>
            <w:r>
              <w:rPr>
                <w:rFonts w:hint="default" w:cs="Times New Roman"/>
                <w:b w:val="0"/>
                <w:bCs w:val="0"/>
                <w:color w:val="2F5597" w:themeColor="accent1" w:themeShade="BF"/>
                <w:kern w:val="2"/>
                <w:lang w:val="en-US" w:eastAsia="zh-CN"/>
              </w:rPr>
              <w:t>75</w:t>
            </w:r>
            <w:r>
              <w:rPr>
                <w:rFonts w:hint="eastAsia" w:cs="Times New Roman"/>
                <w:b w:val="0"/>
                <w:bCs w:val="0"/>
                <w:color w:val="2F5597" w:themeColor="accent1" w:themeShade="BF"/>
                <w:kern w:val="2"/>
                <w:lang w:val="en-US" w:eastAsia="zh-CN"/>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Temperature resolution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0.1℃</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94CC5"/>
    <w:multiLevelType w:val="singleLevel"/>
    <w:tmpl w:val="83394CC5"/>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9F76816"/>
    <w:rsid w:val="0A184A29"/>
    <w:rsid w:val="0A366F57"/>
    <w:rsid w:val="0A965B96"/>
    <w:rsid w:val="0D121F4F"/>
    <w:rsid w:val="0F222773"/>
    <w:rsid w:val="0F8079AD"/>
    <w:rsid w:val="10C02CE0"/>
    <w:rsid w:val="10E60B82"/>
    <w:rsid w:val="11385EB2"/>
    <w:rsid w:val="117D1E52"/>
    <w:rsid w:val="12F323D9"/>
    <w:rsid w:val="13377D20"/>
    <w:rsid w:val="162626F1"/>
    <w:rsid w:val="163338FF"/>
    <w:rsid w:val="167836D1"/>
    <w:rsid w:val="16855545"/>
    <w:rsid w:val="16A71820"/>
    <w:rsid w:val="177739C6"/>
    <w:rsid w:val="18711AC3"/>
    <w:rsid w:val="1886336C"/>
    <w:rsid w:val="1976192B"/>
    <w:rsid w:val="1A4C7833"/>
    <w:rsid w:val="1AB80B3F"/>
    <w:rsid w:val="1AF476D4"/>
    <w:rsid w:val="1B766130"/>
    <w:rsid w:val="1B871C86"/>
    <w:rsid w:val="1C4A28F1"/>
    <w:rsid w:val="1C8D4EFF"/>
    <w:rsid w:val="1D4A4065"/>
    <w:rsid w:val="1E486378"/>
    <w:rsid w:val="1EFF500A"/>
    <w:rsid w:val="1F995798"/>
    <w:rsid w:val="2159429D"/>
    <w:rsid w:val="216A23E2"/>
    <w:rsid w:val="22E601DB"/>
    <w:rsid w:val="23243285"/>
    <w:rsid w:val="241D3C4F"/>
    <w:rsid w:val="246A0583"/>
    <w:rsid w:val="24AE6CFC"/>
    <w:rsid w:val="24C25551"/>
    <w:rsid w:val="24E0163D"/>
    <w:rsid w:val="25BD06B8"/>
    <w:rsid w:val="26F72704"/>
    <w:rsid w:val="26F96952"/>
    <w:rsid w:val="295A600F"/>
    <w:rsid w:val="2A602115"/>
    <w:rsid w:val="2A847618"/>
    <w:rsid w:val="2AC31D90"/>
    <w:rsid w:val="2BE36FED"/>
    <w:rsid w:val="2C2B4AD0"/>
    <w:rsid w:val="2C936415"/>
    <w:rsid w:val="2CBC35B2"/>
    <w:rsid w:val="2D270418"/>
    <w:rsid w:val="2D9E504D"/>
    <w:rsid w:val="2DBB4423"/>
    <w:rsid w:val="2DDC0D2A"/>
    <w:rsid w:val="2E5E5B1C"/>
    <w:rsid w:val="30667F5E"/>
    <w:rsid w:val="32494755"/>
    <w:rsid w:val="34121BAC"/>
    <w:rsid w:val="348346E6"/>
    <w:rsid w:val="348E7F12"/>
    <w:rsid w:val="35B92EB0"/>
    <w:rsid w:val="36585CBC"/>
    <w:rsid w:val="36E10A24"/>
    <w:rsid w:val="37F60A8F"/>
    <w:rsid w:val="3A045A6B"/>
    <w:rsid w:val="3A542ACC"/>
    <w:rsid w:val="3ABF1760"/>
    <w:rsid w:val="3B366186"/>
    <w:rsid w:val="3C5E63A4"/>
    <w:rsid w:val="3D10149F"/>
    <w:rsid w:val="3DA6127B"/>
    <w:rsid w:val="3DEB6E30"/>
    <w:rsid w:val="3E2B5E06"/>
    <w:rsid w:val="40764144"/>
    <w:rsid w:val="410B44C7"/>
    <w:rsid w:val="423E700D"/>
    <w:rsid w:val="43135709"/>
    <w:rsid w:val="43EA5F2F"/>
    <w:rsid w:val="442711AA"/>
    <w:rsid w:val="44CA5428"/>
    <w:rsid w:val="45112BBF"/>
    <w:rsid w:val="498B526A"/>
    <w:rsid w:val="4A075C8C"/>
    <w:rsid w:val="4A527F2C"/>
    <w:rsid w:val="4AA4627F"/>
    <w:rsid w:val="4ADC76DB"/>
    <w:rsid w:val="4CA81950"/>
    <w:rsid w:val="4D4E77F2"/>
    <w:rsid w:val="4D852B80"/>
    <w:rsid w:val="4E931B10"/>
    <w:rsid w:val="4EA053B3"/>
    <w:rsid w:val="4EAD1A14"/>
    <w:rsid w:val="4FD73045"/>
    <w:rsid w:val="50D8413E"/>
    <w:rsid w:val="51C771E3"/>
    <w:rsid w:val="51F9487C"/>
    <w:rsid w:val="5299738F"/>
    <w:rsid w:val="52EE746C"/>
    <w:rsid w:val="5452446D"/>
    <w:rsid w:val="55FD3626"/>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5FBE7D8F"/>
    <w:rsid w:val="607225C9"/>
    <w:rsid w:val="608002B0"/>
    <w:rsid w:val="608B6872"/>
    <w:rsid w:val="6199278C"/>
    <w:rsid w:val="61C3621C"/>
    <w:rsid w:val="61FA2450"/>
    <w:rsid w:val="624F31B6"/>
    <w:rsid w:val="626F460D"/>
    <w:rsid w:val="62737F03"/>
    <w:rsid w:val="62BD7680"/>
    <w:rsid w:val="63B80222"/>
    <w:rsid w:val="63EE1AA4"/>
    <w:rsid w:val="64BB3B0A"/>
    <w:rsid w:val="65173864"/>
    <w:rsid w:val="67074C35"/>
    <w:rsid w:val="674023FC"/>
    <w:rsid w:val="67B86FD5"/>
    <w:rsid w:val="68260E9F"/>
    <w:rsid w:val="68CC736B"/>
    <w:rsid w:val="69A05A18"/>
    <w:rsid w:val="69BE05FA"/>
    <w:rsid w:val="6AB4227F"/>
    <w:rsid w:val="6B3B6611"/>
    <w:rsid w:val="6B5251F4"/>
    <w:rsid w:val="6B6C7258"/>
    <w:rsid w:val="6BA7011A"/>
    <w:rsid w:val="6D337F40"/>
    <w:rsid w:val="6DFB560B"/>
    <w:rsid w:val="6F17421F"/>
    <w:rsid w:val="6F580A9B"/>
    <w:rsid w:val="6F7B3153"/>
    <w:rsid w:val="6F975B11"/>
    <w:rsid w:val="70223419"/>
    <w:rsid w:val="71023B41"/>
    <w:rsid w:val="71E561F0"/>
    <w:rsid w:val="726D0D45"/>
    <w:rsid w:val="728132C4"/>
    <w:rsid w:val="73587C07"/>
    <w:rsid w:val="737F1A45"/>
    <w:rsid w:val="73974732"/>
    <w:rsid w:val="74A64C8E"/>
    <w:rsid w:val="759E16FB"/>
    <w:rsid w:val="75EA64FF"/>
    <w:rsid w:val="76E353C5"/>
    <w:rsid w:val="77C15694"/>
    <w:rsid w:val="78323E75"/>
    <w:rsid w:val="78F84331"/>
    <w:rsid w:val="79776764"/>
    <w:rsid w:val="79FB6B36"/>
    <w:rsid w:val="7A61311F"/>
    <w:rsid w:val="7A664B08"/>
    <w:rsid w:val="7AA2317C"/>
    <w:rsid w:val="7B965710"/>
    <w:rsid w:val="7CAD3559"/>
    <w:rsid w:val="7D2F0EA0"/>
    <w:rsid w:val="7D806002"/>
    <w:rsid w:val="7F88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301</Words>
  <Characters>1738</Characters>
  <Lines>5</Lines>
  <Paragraphs>1</Paragraphs>
  <TotalTime>9</TotalTime>
  <ScaleCrop>false</ScaleCrop>
  <LinksUpToDate>false</LinksUpToDate>
  <CharactersWithSpaces>1966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2024-07-17T08:39:56Z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