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6005"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default" w:ascii="Arial" w:hAnsi="Arial" w:eastAsia="宋体" w:cs="Arial"/>
          <w:sz w:val="30"/>
          <w:lang w:eastAsia="zh-CN"/>
        </w:rPr>
        <w:drawing>
          <wp:inline distT="0" distB="0" distL="114300" distR="114300">
            <wp:extent cx="3234690" cy="3234690"/>
            <wp:effectExtent l="0" t="0" r="0" b="0"/>
            <wp:docPr id="5" name="图片 5" descr="FJ300-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J300-S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ADA00"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199390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5CEE7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FJ300-S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L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Digital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C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onstant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peed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igh-speed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D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ispersion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omogenizer</w:t>
                            </w:r>
                          </w:p>
                          <w:p w14:paraId="7491DE3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5pt;margin-top:15.7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BWXAU2wAAAAgBAAAPAAAAAAAAAAEAIAAAACIAAABkcnMv&#10;ZG93bnJldi54bWxQSwECFAAUAAAACACHTuJALkIK4jkCAABk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D85CEE7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FJ300-S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L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Digital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C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onstant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peed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igh-speed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D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ispersion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omogenizer</w:t>
                      </w:r>
                    </w:p>
                    <w:p w14:paraId="7491DE30"/>
                  </w:txbxContent>
                </v:textbox>
                <w10:wrap type="topAndBottom"/>
              </v:shape>
            </w:pict>
          </mc:Fallback>
        </mc:AlternateContent>
      </w:r>
    </w:p>
    <w:p w14:paraId="16FC90AE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 w14:paraId="3A04B480"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The laboratory high-speed dispersion homogenizer is driven by a compact series excited micro high-speed motor, which is suitable for further dispersion and homogenization of crushed experimental materials in liquid media in the laboratory. The machine is composed of a high-density die cast aluminum alloy as the driving host, a high-quality stainless steel refined dispersed homogeneous working head, and a speed regulating machine base. It has the characteristics of high host drive speed, high output power, convenient loading and unloading of the working head, and easy experimental operation.</w:t>
      </w:r>
    </w:p>
    <w:p w14:paraId="1A85EFE7"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</w:p>
    <w:p w14:paraId="4200A554"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 w14:paraId="4908DC8C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color w:val="2F5597" w:themeColor="accent1" w:themeShade="BF"/>
          <w:kern w:val="2"/>
        </w:rPr>
        <w:t xml:space="preserve">The driving motor 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use</w:t>
      </w:r>
      <w:r>
        <w:rPr>
          <w:rFonts w:hint="eastAsia" w:cs="Times New Roman"/>
          <w:color w:val="2F5597" w:themeColor="accent1" w:themeShade="BF"/>
          <w:kern w:val="2"/>
        </w:rPr>
        <w:t xml:space="preserve"> a series excited micro motor with high output power and compact structure, designed to be safe and reliable.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 xml:space="preserve"> </w:t>
      </w:r>
    </w:p>
    <w:p w14:paraId="71140635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All parts of the working head that come into contact with materials are made of high-quality stainless steel, which has good corrosion resistance.</w:t>
      </w:r>
    </w:p>
    <w:p w14:paraId="086D1293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The working head is connected to the drive motor through a coupling, making it easy and flexible to disassemble and assemble.</w:t>
      </w:r>
    </w:p>
    <w:p w14:paraId="62CC90C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Knob speed regulation, convenient speed regulation, stable operation.</w:t>
      </w:r>
    </w:p>
    <w:p w14:paraId="3A00C8A8"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</w:p>
    <w:p w14:paraId="40D1C05C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4999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5108"/>
      </w:tblGrid>
      <w:tr w14:paraId="4F50E1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5C4798D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1E36C9F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FJ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00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-SL</w:t>
            </w:r>
          </w:p>
        </w:tc>
      </w:tr>
      <w:tr w14:paraId="426847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89A144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Item number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5DB5E0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1004040001</w:t>
            </w:r>
          </w:p>
        </w:tc>
      </w:tr>
      <w:tr w14:paraId="02CA4F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12126B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range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2E4E8F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2000-15000r/min</w:t>
            </w:r>
          </w:p>
        </w:tc>
      </w:tr>
      <w:tr w14:paraId="16939D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EFCD12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Processing capacity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306760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100-13000ml</w:t>
            </w:r>
          </w:p>
        </w:tc>
      </w:tr>
      <w:tr w14:paraId="732A50C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796D6A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display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0877CB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LED</w:t>
            </w:r>
          </w:p>
        </w:tc>
      </w:tr>
      <w:tr w14:paraId="7B43E6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BA713C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operation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1E472E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Step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less speed regulation</w:t>
            </w:r>
          </w:p>
        </w:tc>
      </w:tr>
      <w:tr w14:paraId="0432C6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2E2830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Input power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9235E8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500W</w:t>
            </w:r>
          </w:p>
        </w:tc>
      </w:tr>
      <w:tr w14:paraId="75D18C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4BAE29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output power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E17D26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300W</w:t>
            </w:r>
          </w:p>
        </w:tc>
      </w:tr>
      <w:tr w14:paraId="036C12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A445DF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Use power supply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6D359A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AC220V 50Hz</w:t>
            </w:r>
          </w:p>
        </w:tc>
      </w:tr>
      <w:tr w14:paraId="3C5839E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D409F6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Work head configuration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3AD498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φ28mm，φ36mm</w:t>
            </w:r>
          </w:p>
        </w:tc>
      </w:tr>
      <w:tr w14:paraId="79D6BF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A0B6DA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Working methods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61D999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Continuous (long-term)</w:t>
            </w:r>
          </w:p>
          <w:p w14:paraId="5522033B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</w:p>
        </w:tc>
      </w:tr>
      <w:tr w14:paraId="06A03E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389708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Head size (length x width x height)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C484A6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93*115*185mm</w:t>
            </w:r>
          </w:p>
        </w:tc>
      </w:tr>
      <w:tr w14:paraId="7AB2888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D8A36A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Instrument dimensions (length x width x height)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68035E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200*315*780mm</w:t>
            </w:r>
          </w:p>
        </w:tc>
      </w:tr>
      <w:tr w14:paraId="34CECDD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F3741F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Packaging dimensions (length x width x height)</w:t>
            </w:r>
          </w:p>
        </w:tc>
        <w:tc>
          <w:tcPr>
            <w:tcW w:w="29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B98932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840*320*163mm</w:t>
            </w:r>
          </w:p>
        </w:tc>
      </w:tr>
    </w:tbl>
    <w:p w14:paraId="125732C6"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p w14:paraId="00CD0B1C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Packing List</w:t>
      </w:r>
      <w:r>
        <w:rPr>
          <w:rFonts w:hint="eastAsia" w:cs="Times New Roman"/>
          <w:b/>
          <w:bCs/>
          <w:color w:val="2F5597" w:themeColor="accent1" w:themeShade="BF"/>
          <w:kern w:val="2"/>
          <w:lang w:eastAsia="zh-CN"/>
        </w:rPr>
        <w:t>：</w:t>
      </w:r>
    </w:p>
    <w:tbl>
      <w:tblPr>
        <w:tblStyle w:val="13"/>
        <w:tblW w:w="4998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7"/>
        <w:gridCol w:w="3532"/>
      </w:tblGrid>
      <w:tr w14:paraId="3EB50D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D09B932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Homogenizer Host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FE40028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set</w:t>
            </w:r>
          </w:p>
        </w:tc>
      </w:tr>
      <w:tr w14:paraId="28B01E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5C63619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Vertical Column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9E45C57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piece</w:t>
            </w:r>
          </w:p>
        </w:tc>
      </w:tr>
      <w:tr w14:paraId="249EC2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8742239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Flat Base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26B81A8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piece</w:t>
            </w:r>
          </w:p>
        </w:tc>
      </w:tr>
      <w:tr w14:paraId="094507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091595B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Working Head 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84049ED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2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pieces </w:t>
            </w:r>
          </w:p>
        </w:tc>
      </w:tr>
      <w:tr w14:paraId="4CE836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F93C8BD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Power Cord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71CF18F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piece</w:t>
            </w:r>
          </w:p>
        </w:tc>
      </w:tr>
      <w:tr w14:paraId="3EAB54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D9FFD69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Fixed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rench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873B917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piece</w:t>
            </w:r>
          </w:p>
        </w:tc>
      </w:tr>
      <w:tr w14:paraId="62FB8B1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0485B64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nner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exagon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panner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F162D08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piece</w:t>
            </w:r>
          </w:p>
        </w:tc>
      </w:tr>
      <w:tr w14:paraId="5B808C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4A384F9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Carbon Brush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（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Spare part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）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58EDAD6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pair</w:t>
            </w:r>
          </w:p>
        </w:tc>
      </w:tr>
      <w:tr w14:paraId="0543A8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98516CA"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Manual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DD92BCB"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piece</w:t>
            </w:r>
          </w:p>
        </w:tc>
      </w:tr>
    </w:tbl>
    <w:p w14:paraId="4FC10142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A3D66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DDC3B3E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5116390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B69EF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DADC6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E8161D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FE8E332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39D62"/>
    <w:multiLevelType w:val="singleLevel"/>
    <w:tmpl w:val="15939D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029C9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07BEB"/>
    <w:rsid w:val="00C47428"/>
    <w:rsid w:val="00C83139"/>
    <w:rsid w:val="00CF6796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012812"/>
    <w:rsid w:val="091F1204"/>
    <w:rsid w:val="0A184A29"/>
    <w:rsid w:val="0A366F57"/>
    <w:rsid w:val="0A965B96"/>
    <w:rsid w:val="0BDD515C"/>
    <w:rsid w:val="0D121F4F"/>
    <w:rsid w:val="0F222773"/>
    <w:rsid w:val="0FE200C5"/>
    <w:rsid w:val="10BE0B6B"/>
    <w:rsid w:val="10C02CE0"/>
    <w:rsid w:val="10E60B82"/>
    <w:rsid w:val="11385EB2"/>
    <w:rsid w:val="117D1E52"/>
    <w:rsid w:val="125910CE"/>
    <w:rsid w:val="12F323D9"/>
    <w:rsid w:val="13377D20"/>
    <w:rsid w:val="138008DC"/>
    <w:rsid w:val="149252BC"/>
    <w:rsid w:val="158F6D5F"/>
    <w:rsid w:val="162626F1"/>
    <w:rsid w:val="163338FF"/>
    <w:rsid w:val="167836D1"/>
    <w:rsid w:val="16855545"/>
    <w:rsid w:val="16A71820"/>
    <w:rsid w:val="18711AC3"/>
    <w:rsid w:val="1886336C"/>
    <w:rsid w:val="193D3E2A"/>
    <w:rsid w:val="1976192B"/>
    <w:rsid w:val="1A4C7833"/>
    <w:rsid w:val="1AB80B3F"/>
    <w:rsid w:val="1ABE04FC"/>
    <w:rsid w:val="1AF476D4"/>
    <w:rsid w:val="1B766130"/>
    <w:rsid w:val="1B871C86"/>
    <w:rsid w:val="1BAF5F2B"/>
    <w:rsid w:val="1C4A28F1"/>
    <w:rsid w:val="1C590F97"/>
    <w:rsid w:val="1C8D4EFF"/>
    <w:rsid w:val="1DEE051D"/>
    <w:rsid w:val="1E486378"/>
    <w:rsid w:val="1EFF500A"/>
    <w:rsid w:val="1F483ED7"/>
    <w:rsid w:val="1F995798"/>
    <w:rsid w:val="1FE401DF"/>
    <w:rsid w:val="205E5211"/>
    <w:rsid w:val="2155607D"/>
    <w:rsid w:val="2159429D"/>
    <w:rsid w:val="216A23E2"/>
    <w:rsid w:val="22E601DB"/>
    <w:rsid w:val="23243285"/>
    <w:rsid w:val="23275398"/>
    <w:rsid w:val="241D3C4F"/>
    <w:rsid w:val="245E02DF"/>
    <w:rsid w:val="246A0583"/>
    <w:rsid w:val="24AE6CFC"/>
    <w:rsid w:val="24E0163D"/>
    <w:rsid w:val="256B7310"/>
    <w:rsid w:val="26E54919"/>
    <w:rsid w:val="2795106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404B18"/>
    <w:rsid w:val="30667F5E"/>
    <w:rsid w:val="319055AA"/>
    <w:rsid w:val="32494755"/>
    <w:rsid w:val="3285155A"/>
    <w:rsid w:val="32FE7898"/>
    <w:rsid w:val="3350629C"/>
    <w:rsid w:val="34121BAC"/>
    <w:rsid w:val="345D3C8D"/>
    <w:rsid w:val="348346E6"/>
    <w:rsid w:val="348E7F12"/>
    <w:rsid w:val="35B92EB0"/>
    <w:rsid w:val="36585CBC"/>
    <w:rsid w:val="36E10A24"/>
    <w:rsid w:val="37776FAD"/>
    <w:rsid w:val="3A045A6B"/>
    <w:rsid w:val="3A542ACC"/>
    <w:rsid w:val="3ABF1760"/>
    <w:rsid w:val="3C5E63A4"/>
    <w:rsid w:val="3DA6127B"/>
    <w:rsid w:val="3DEB6E30"/>
    <w:rsid w:val="3E2B5E06"/>
    <w:rsid w:val="3E3D40DE"/>
    <w:rsid w:val="3EF50993"/>
    <w:rsid w:val="3F56267F"/>
    <w:rsid w:val="40764144"/>
    <w:rsid w:val="410B44C7"/>
    <w:rsid w:val="423E700D"/>
    <w:rsid w:val="42497357"/>
    <w:rsid w:val="43135709"/>
    <w:rsid w:val="439A26DB"/>
    <w:rsid w:val="43DD2E53"/>
    <w:rsid w:val="43EA5F2F"/>
    <w:rsid w:val="442711AA"/>
    <w:rsid w:val="44B068C9"/>
    <w:rsid w:val="44CA5428"/>
    <w:rsid w:val="45112BBF"/>
    <w:rsid w:val="451A5BEB"/>
    <w:rsid w:val="46274A64"/>
    <w:rsid w:val="48082368"/>
    <w:rsid w:val="4848025D"/>
    <w:rsid w:val="498B526A"/>
    <w:rsid w:val="4A075C8C"/>
    <w:rsid w:val="4A527F2C"/>
    <w:rsid w:val="4AA4627F"/>
    <w:rsid w:val="4AC409EA"/>
    <w:rsid w:val="4ADC76DB"/>
    <w:rsid w:val="4B4B11F4"/>
    <w:rsid w:val="4CA81950"/>
    <w:rsid w:val="4D4E77F2"/>
    <w:rsid w:val="4E931B10"/>
    <w:rsid w:val="4FD73045"/>
    <w:rsid w:val="50D8413E"/>
    <w:rsid w:val="515662A6"/>
    <w:rsid w:val="51C771E3"/>
    <w:rsid w:val="51F9487C"/>
    <w:rsid w:val="52943353"/>
    <w:rsid w:val="52EE746C"/>
    <w:rsid w:val="5452446D"/>
    <w:rsid w:val="563C7D3B"/>
    <w:rsid w:val="567A4548"/>
    <w:rsid w:val="56C210E8"/>
    <w:rsid w:val="57037F02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EDD2BC2"/>
    <w:rsid w:val="5F535179"/>
    <w:rsid w:val="5F66506C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8216A2"/>
    <w:rsid w:val="67B86FD5"/>
    <w:rsid w:val="68260E9F"/>
    <w:rsid w:val="68CC736B"/>
    <w:rsid w:val="69A05A18"/>
    <w:rsid w:val="69CE4A2C"/>
    <w:rsid w:val="6AB4227F"/>
    <w:rsid w:val="6B3B6611"/>
    <w:rsid w:val="6B5251F4"/>
    <w:rsid w:val="6B6C7258"/>
    <w:rsid w:val="6BA7011A"/>
    <w:rsid w:val="6D26263B"/>
    <w:rsid w:val="6DFB560B"/>
    <w:rsid w:val="6F17421F"/>
    <w:rsid w:val="6F580A9B"/>
    <w:rsid w:val="6F7B3153"/>
    <w:rsid w:val="6F975B11"/>
    <w:rsid w:val="6FC0310B"/>
    <w:rsid w:val="70223419"/>
    <w:rsid w:val="7088613C"/>
    <w:rsid w:val="7142463B"/>
    <w:rsid w:val="71AA6239"/>
    <w:rsid w:val="71E561F0"/>
    <w:rsid w:val="73587C07"/>
    <w:rsid w:val="737F1A45"/>
    <w:rsid w:val="73974732"/>
    <w:rsid w:val="73FE7D5C"/>
    <w:rsid w:val="74236B3A"/>
    <w:rsid w:val="74A64C8E"/>
    <w:rsid w:val="74B41A7E"/>
    <w:rsid w:val="75287AA8"/>
    <w:rsid w:val="75EA64FF"/>
    <w:rsid w:val="76E353C5"/>
    <w:rsid w:val="77C15694"/>
    <w:rsid w:val="78323E75"/>
    <w:rsid w:val="78BE0D19"/>
    <w:rsid w:val="78F84331"/>
    <w:rsid w:val="79FB6B36"/>
    <w:rsid w:val="7A61311F"/>
    <w:rsid w:val="7A664B08"/>
    <w:rsid w:val="7AA2317C"/>
    <w:rsid w:val="7B0B03A7"/>
    <w:rsid w:val="7B965710"/>
    <w:rsid w:val="7BE22C75"/>
    <w:rsid w:val="7C2B72D1"/>
    <w:rsid w:val="7C49795C"/>
    <w:rsid w:val="7CAD3559"/>
    <w:rsid w:val="7D2F0EA0"/>
    <w:rsid w:val="7D806002"/>
    <w:rsid w:val="7EF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1512</Characters>
  <Lines>5</Lines>
  <Paragraphs>1</Paragraphs>
  <TotalTime>0</TotalTime>
  <ScaleCrop>false</ScaleCrop>
  <LinksUpToDate>false</LinksUpToDate>
  <CharactersWithSpaces>1704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2024-09-19T02:16:58Z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9AC4D5184810497BBB130FAE6F479498_12</vt:lpwstr>
  </property>
</Properties>
</file>