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778125" cy="2778125"/>
            <wp:effectExtent l="0" t="0" r="0" b="0"/>
            <wp:docPr id="2" name="图片 2" descr="HM-LD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D系列"/>
                    <pic:cNvPicPr>
                      <a:picLocks noChangeAspect="1"/>
                    </pic:cNvPicPr>
                  </pic:nvPicPr>
                  <pic:blipFill>
                    <a:blip r:embed="rId5"/>
                    <a:stretch>
                      <a:fillRect/>
                    </a:stretch>
                  </pic:blipFill>
                  <pic:spPr>
                    <a:xfrm>
                      <a:off x="0" y="0"/>
                      <a:ext cx="2778125" cy="2778125"/>
                    </a:xfrm>
                    <a:prstGeom prst="rect">
                      <a:avLst/>
                    </a:prstGeom>
                  </pic:spPr>
                </pic:pic>
              </a:graphicData>
            </a:graphic>
          </wp:inline>
        </w:drawing>
      </w:r>
    </w:p>
    <w:p w14:paraId="3729DF93">
      <w:pPr>
        <w:tabs>
          <w:tab w:val="left" w:pos="7161"/>
        </w:tabs>
        <w:ind w:firstLine="321" w:firstLineChars="100"/>
        <w:jc w:val="both"/>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HM-LD48S Floor Standing Freeze Tissuelyser </w:t>
      </w:r>
    </w:p>
    <w:p w14:paraId="560E9306">
      <w:pPr>
        <w:tabs>
          <w:tab w:val="left" w:pos="7161"/>
        </w:tabs>
        <w:ind w:firstLine="1928" w:firstLineChars="600"/>
        <w:jc w:val="both"/>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(Noise Reduction Model)</w:t>
      </w:r>
    </w:p>
    <w:p w14:paraId="575E2EC4">
      <w:pPr>
        <w:tabs>
          <w:tab w:val="left" w:pos="7161"/>
        </w:tabs>
        <w:ind w:firstLine="3300" w:firstLineChars="1100"/>
        <w:jc w:val="both"/>
        <w:rPr>
          <w:rFonts w:hint="eastAsia"/>
          <w:sz w:val="30"/>
        </w:rPr>
      </w:pP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LD s</w:t>
      </w:r>
      <w:r>
        <w:rPr>
          <w:rFonts w:hint="default" w:ascii="Arial" w:hAnsi="Arial" w:cs="Arial"/>
          <w:color w:val="2E75B6" w:themeColor="accent1" w:themeShade="BF"/>
          <w:sz w:val="24"/>
          <w:szCs w:val="24"/>
        </w:rPr>
        <w:t xml:space="preserve">eries </w:t>
      </w:r>
      <w:r>
        <w:rPr>
          <w:rFonts w:hint="eastAsia" w:ascii="Arial" w:hAnsi="Arial" w:cs="Arial"/>
          <w:color w:val="2E75B6" w:themeColor="accent1" w:themeShade="BF"/>
          <w:sz w:val="24"/>
          <w:szCs w:val="24"/>
          <w:lang w:val="en-US" w:eastAsia="zh-CN"/>
        </w:rPr>
        <w:t>floor standing freeze t</w:t>
      </w:r>
      <w:r>
        <w:rPr>
          <w:rFonts w:hint="default" w:ascii="Arial" w:hAnsi="Arial" w:cs="Arial"/>
          <w:color w:val="2E75B6" w:themeColor="accent1" w:themeShade="BF"/>
          <w:sz w:val="24"/>
          <w:szCs w:val="24"/>
        </w:rPr>
        <w:t xml:space="preserve">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234B8311">
      <w:pPr>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FUudzP2AQAAvwMAAA4AAABkcnMvZTJvRG9jLnhtbK1TzY7T&#10;MBC+I/EOlu80aUtQGzVdabdaLggqAXt3HTux5D95vE37ErwAEjc4ceTO27A8BmOnW2C57IEcrPHM&#10;+Jv5vpmsLg5Gk70IoJxt6HRSUiIsd62yXUPfv7t+tqAEIrMt086Khh4F0Iv10yerwddi5nqnWxEI&#10;glioB9/QPkZfFwXwXhgGE+eFxaB0wbCI19AVbWADohtdzMryRTG40PrguABA72YM0hNieAygk1Jx&#10;sXH81ggbR9QgNItICXrlga5zt1IKHt9ICSIS3VBkGvOJRdDepbNYr1jdBeZ7xU8tsMe08ICTYcpi&#10;0TPUhkVGboP6B8ooHhw4GSfcmWIkkhVBFtPygTZve+ZF5oJSgz+LDv8Plr/ebwNRbUPnlFhmcOB3&#10;H7/9+PD55/dPeN59/ULmSaTBQ425V3YbTjfw25AYH2QwRGrlb3CbsgbIihyyxMezxOIQCUdnNVtO&#10;n1cVJRxj88U0T6AYURKaDxBfCmdIMhqqlU0CsJrtX0HEyph6n5Lc1l0rrfMQtSUDdrAsK5wtZ7iZ&#10;EjcCTeORHdiOEqY7XHkeQ4YEp1WbnicgCN3uSgeyZ7go1eXyclMl2ljur7RUe8OgH/NyaFwhoyL+&#10;FVqZhi7K9J1ea4sgSbxRrmTtXHvMKmY/zjWXOe1gWpw/7/n17/9u/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Aq2T1gAAAAgBAAAPAAAAAAAAAAEAIAAAACIAAABkcnMvZG93bnJldi54bWxQSwEC&#10;FAAUAAAACACHTuJAVS53M/YBAAC/AwAADgAAAAAAAAABACAAAAAlAQAAZHJzL2Uyb0RvYy54bWxQ&#10;SwUGAAAAAAYABgBZAQAAjQU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2ml*48</w:t>
      </w:r>
      <w:bookmarkStart w:id="0" w:name="_GoBack"/>
      <w:bookmarkEnd w:id="0"/>
      <w:r>
        <w:rPr>
          <w:rFonts w:hint="eastAsia" w:ascii="Arial" w:hAnsi="Arial" w:cs="Arial"/>
          <w:color w:val="2E75B6" w:themeColor="accent1" w:themeShade="BF"/>
          <w:sz w:val="24"/>
          <w:szCs w:val="24"/>
          <w:lang w:val="en-US" w:eastAsia="zh-CN"/>
        </w:rPr>
        <w:t xml:space="preserve">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4CBB1D02">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color w:val="2E75B6" w:themeColor="accent1" w:themeShade="BF"/>
          <w:sz w:val="24"/>
          <w:szCs w:val="24"/>
          <w:lang w:val="en-US" w:eastAsia="zh-CN"/>
        </w:rPr>
      </w:pPr>
    </w:p>
    <w:p w14:paraId="68121551">
      <w:pPr>
        <w:pStyle w:val="4"/>
        <w:spacing w:before="0" w:beforeAutospacing="0" w:after="0" w:afterAutospacing="0" w:line="360" w:lineRule="auto"/>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cs="宋体"/>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LD48S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45</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48</w:t>
            </w:r>
            <w:r>
              <w:rPr>
                <w:rFonts w:hint="default" w:ascii="Arial" w:hAnsi="Arial" w:cs="Arial"/>
                <w:color w:val="2E75B6" w:themeColor="accent1" w:themeShade="BF"/>
                <w:sz w:val="24"/>
                <w:szCs w:val="24"/>
                <w:lang w:val="en-US" w:eastAsia="zh-CN"/>
              </w:rPr>
              <w:t xml:space="preserve"> 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2ml*4</w:t>
            </w:r>
            <w:r>
              <w:rPr>
                <w:rFonts w:hint="eastAsia" w:ascii="Arial" w:hAnsi="Arial" w:cs="Arial"/>
                <w:color w:val="2E75B6" w:themeColor="accent1" w:themeShade="BF"/>
                <w:sz w:val="24"/>
                <w:szCs w:val="24"/>
                <w:lang w:val="en-US" w:eastAsia="zh-CN"/>
              </w:rPr>
              <w:t>8</w:t>
            </w:r>
            <w:r>
              <w:rPr>
                <w:rFonts w:hint="default" w:ascii="Arial" w:hAnsi="Arial" w:cs="Arial"/>
                <w:color w:val="2E75B6" w:themeColor="accent1" w:themeShade="BF"/>
                <w:sz w:val="24"/>
                <w:szCs w:val="24"/>
                <w:lang w:val="en-US" w:eastAsia="zh-CN"/>
              </w:rPr>
              <w:t xml:space="preserve"> PE adapter, Optional 5ml*12 adapter, 10ml*4 adapter, 25ml*</w:t>
            </w:r>
            <w:r>
              <w:rPr>
                <w:rFonts w:hint="eastAsia" w:ascii="Arial" w:hAnsi="Arial" w:cs="Arial"/>
                <w:color w:val="2E75B6" w:themeColor="accent1" w:themeShade="BF"/>
                <w:sz w:val="24"/>
                <w:szCs w:val="24"/>
                <w:lang w:val="en-US" w:eastAsia="zh-CN"/>
              </w:rPr>
              <w:t xml:space="preserve">4 </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5-inch LED 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7BA929A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61A9B0C">
            <w:pPr>
              <w:tabs>
                <w:tab w:val="left" w:pos="7161"/>
              </w:tabs>
              <w:spacing w:line="240" w:lineRule="auto"/>
              <w:ind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Grinding stroke</w:t>
            </w:r>
          </w:p>
        </w:tc>
        <w:tc>
          <w:tcPr>
            <w:tcW w:w="5864" w:type="dxa"/>
            <w:tcBorders>
              <w:tl2br w:val="nil"/>
              <w:tr2bl w:val="nil"/>
            </w:tcBorders>
            <w:shd w:val="clear" w:color="auto" w:fill="FFFFFF" w:themeFill="background1"/>
            <w:vAlign w:val="center"/>
          </w:tcPr>
          <w:p w14:paraId="59A2CE6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34mm(Vertical)</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20~-50℃ free adjustment</w:t>
            </w:r>
          </w:p>
        </w:tc>
      </w:tr>
      <w:tr w14:paraId="0F06E04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2676EB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Freeze Time</w:t>
            </w:r>
          </w:p>
        </w:tc>
        <w:tc>
          <w:tcPr>
            <w:tcW w:w="5864" w:type="dxa"/>
            <w:tcBorders>
              <w:tl2br w:val="nil"/>
              <w:tr2bl w:val="nil"/>
            </w:tcBorders>
            <w:shd w:val="clear" w:color="auto" w:fill="FFFFFF" w:themeFill="background1"/>
            <w:vAlign w:val="center"/>
          </w:tcPr>
          <w:p w14:paraId="0C5C9DC4">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20°C down to -50°C about 40min</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450</w:t>
            </w:r>
            <w:r>
              <w:rPr>
                <w:rFonts w:hint="default" w:ascii="Arial" w:hAnsi="Arial" w:cs="Arial"/>
                <w:color w:val="2E75B6" w:themeColor="accent1" w:themeShade="BF"/>
                <w:sz w:val="24"/>
                <w:szCs w:val="24"/>
                <w:lang w:val="en-US" w:eastAsia="zh-CN"/>
              </w:rPr>
              <w:t>*</w:t>
            </w:r>
            <w:r>
              <w:rPr>
                <w:rFonts w:hint="eastAsia" w:ascii="Arial" w:hAnsi="Arial" w:cs="Arial"/>
                <w:color w:val="2E75B6" w:themeColor="accent1" w:themeShade="BF"/>
                <w:sz w:val="24"/>
                <w:szCs w:val="24"/>
                <w:lang w:val="en-US" w:eastAsia="zh-CN"/>
              </w:rPr>
              <w:t>45</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72</w:t>
            </w:r>
            <w:r>
              <w:rPr>
                <w:rFonts w:hint="default" w:ascii="Arial" w:hAnsi="Arial" w:cs="Arial"/>
                <w:color w:val="2E75B6" w:themeColor="accent1" w:themeShade="BF"/>
                <w:sz w:val="24"/>
                <w:szCs w:val="24"/>
                <w:lang w:val="en-US" w:eastAsia="zh-CN"/>
              </w:rPr>
              <w:t>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kg</w:t>
            </w:r>
          </w:p>
        </w:tc>
      </w:tr>
      <w:tr w14:paraId="7B2BAF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7D08D0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Optional Function</w:t>
            </w:r>
          </w:p>
        </w:tc>
        <w:tc>
          <w:tcPr>
            <w:tcW w:w="5864" w:type="dxa"/>
            <w:tcBorders>
              <w:tl2br w:val="nil"/>
              <w:tr2bl w:val="nil"/>
            </w:tcBorders>
            <w:shd w:val="clear" w:color="auto" w:fill="FFFFFF" w:themeFill="background1"/>
            <w:vAlign w:val="center"/>
          </w:tcPr>
          <w:p w14:paraId="492F6878">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Can store ≥ 20 groups of experimental data, according to different experimental samples, set up with animal heart, spleen, lung, kidney, bone, hair mode</w:t>
            </w:r>
          </w:p>
        </w:tc>
      </w:tr>
    </w:tbl>
    <w:p w14:paraId="5361BC85">
      <w:pPr>
        <w:pStyle w:val="4"/>
        <w:spacing w:before="0" w:beforeAutospacing="0" w:after="0" w:afterAutospacing="0" w:line="360" w:lineRule="auto"/>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p>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48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45647DA6">
      <w:pPr>
        <w:pStyle w:val="4"/>
        <w:spacing w:before="0" w:beforeAutospacing="0" w:after="0" w:afterAutospacing="0" w:line="360" w:lineRule="auto"/>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26DBA4AD">
      <w:pPr>
        <w:pStyle w:val="4"/>
        <w:numPr>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3854360"/>
    <w:rsid w:val="03AC3272"/>
    <w:rsid w:val="06E16DC7"/>
    <w:rsid w:val="07767AED"/>
    <w:rsid w:val="0C47683A"/>
    <w:rsid w:val="0C602969"/>
    <w:rsid w:val="18CB159B"/>
    <w:rsid w:val="1C63631D"/>
    <w:rsid w:val="1D077978"/>
    <w:rsid w:val="1F107FF0"/>
    <w:rsid w:val="238B4E5F"/>
    <w:rsid w:val="282910EA"/>
    <w:rsid w:val="2846663E"/>
    <w:rsid w:val="2A1060BE"/>
    <w:rsid w:val="2A921727"/>
    <w:rsid w:val="30CA30C1"/>
    <w:rsid w:val="38FA6DE4"/>
    <w:rsid w:val="3B051B12"/>
    <w:rsid w:val="3BD866A3"/>
    <w:rsid w:val="3E85717B"/>
    <w:rsid w:val="3ED6662E"/>
    <w:rsid w:val="401A4BF5"/>
    <w:rsid w:val="42134674"/>
    <w:rsid w:val="4766096F"/>
    <w:rsid w:val="47F846B4"/>
    <w:rsid w:val="497A4461"/>
    <w:rsid w:val="4AB82BC8"/>
    <w:rsid w:val="4B330860"/>
    <w:rsid w:val="4BA861F3"/>
    <w:rsid w:val="4E5541CA"/>
    <w:rsid w:val="4FBA7F40"/>
    <w:rsid w:val="528B6C58"/>
    <w:rsid w:val="54434FD7"/>
    <w:rsid w:val="54CA3AE9"/>
    <w:rsid w:val="55685823"/>
    <w:rsid w:val="56AF0889"/>
    <w:rsid w:val="57D00686"/>
    <w:rsid w:val="587E2356"/>
    <w:rsid w:val="5E701689"/>
    <w:rsid w:val="60E17575"/>
    <w:rsid w:val="6209231F"/>
    <w:rsid w:val="637644DD"/>
    <w:rsid w:val="67B65BD1"/>
    <w:rsid w:val="72257B14"/>
    <w:rsid w:val="73BA665B"/>
    <w:rsid w:val="741A79D0"/>
    <w:rsid w:val="761B1745"/>
    <w:rsid w:val="770C64E5"/>
    <w:rsid w:val="77870D2F"/>
    <w:rsid w:val="7B6C4572"/>
    <w:rsid w:val="7C7D2DBE"/>
    <w:rsid w:val="7D3A5A57"/>
    <w:rsid w:val="7D9F6C6A"/>
    <w:rsid w:val="7E0A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722</Words>
  <Characters>2805</Characters>
  <Lines>0</Lines>
  <Paragraphs>0</Paragraphs>
  <TotalTime>0</TotalTime>
  <ScaleCrop>false</ScaleCrop>
  <LinksUpToDate>false</LinksUpToDate>
  <CharactersWithSpaces>3155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2025-02-18T06:25:52Z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