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09AE">
      <w:pPr>
        <w:pStyle w:val="10"/>
        <w:spacing w:before="0" w:beforeAutospacing="0" w:after="0" w:afterAutospacing="0" w:line="360" w:lineRule="auto"/>
        <w:jc w:val="center"/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914015" cy="2639695"/>
            <wp:effectExtent l="0" t="0" r="0" b="0"/>
            <wp:docPr id="2" name="图片 2" descr="在线乳化机银色旋钮HRZ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在线乳化机银色旋钮HRZ-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0C41">
      <w:pPr>
        <w:pStyle w:val="10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b/>
          <w:bCs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237490</wp:posOffset>
                </wp:positionV>
                <wp:extent cx="1828800" cy="39052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38818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HZR-25 I</w:t>
                            </w:r>
                            <w:r>
                              <w:rPr>
                                <w:rFonts w:hint="default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nline homogenizer</w:t>
                            </w:r>
                          </w:p>
                          <w:p w14:paraId="282010B8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58610471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7ED9C089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1A313AD8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8.7pt;height:30.75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qmvFtwAAAAJAQAADwAAAAAAAAABACAAAAAiAAAAZHJz&#10;L2Rvd25yZXYueG1sUEsBAhQAFAAAAAgAh07iQC5CCuI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D38818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HZR-25 I</w:t>
                      </w:r>
                      <w:r>
                        <w:rPr>
                          <w:rFonts w:hint="default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nline homogenizer</w:t>
                      </w:r>
                    </w:p>
                    <w:p w14:paraId="282010B8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58610471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7ED9C089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1A313AD8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1271D86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bCs/>
          <w:color w:val="2F5597" w:themeColor="accent1" w:themeShade="BF"/>
          <w:kern w:val="2"/>
        </w:rPr>
      </w:pPr>
      <w:r>
        <w:rPr>
          <w:rFonts w:hint="eastAsia" w:cs="Times New Roman"/>
          <w:b/>
          <w:bCs/>
          <w:color w:val="2F5597" w:themeColor="accent1" w:themeShade="BF"/>
          <w:kern w:val="2"/>
          <w:lang w:val="en-US" w:eastAsia="zh-CN"/>
        </w:rPr>
        <w:t>Application：</w:t>
      </w:r>
    </w:p>
    <w:p w14:paraId="55D322FD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● HZR-25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I</w:t>
      </w:r>
      <w:r>
        <w:rPr>
          <w:rFonts w:hint="default" w:cs="Times New Roman"/>
          <w:b w:val="0"/>
          <w:bCs w:val="0"/>
          <w:color w:val="2F5597" w:themeColor="accent1" w:themeShade="BF"/>
          <w:kern w:val="2"/>
          <w:lang w:val="en-US" w:eastAsia="zh-CN"/>
        </w:rPr>
        <w:t>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 xml:space="preserve"> emulsifier has high emulsification and mixing efficiency, light weight, modular structure of the whole machine, easy t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o operate, and can run for a long time. Can make the material 100% through the shear cavity, efficient homogeneity, no dispersion dead angle and other characteristics. Easily meet the simulation of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working conditions in the laboratory for circulation or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continuous processing. Applicable process: Laboratory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processing, can cycle the material, complete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dispersion, emulsification, homogenization and mixing.</w:t>
      </w:r>
    </w:p>
    <w:p w14:paraId="461A21FC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</w:p>
    <w:p w14:paraId="38879454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</w:p>
    <w:p w14:paraId="65090702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</w:p>
    <w:p w14:paraId="101E4362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b/>
          <w:bCs/>
          <w:color w:val="2F5597" w:themeColor="accent1" w:themeShade="BF"/>
          <w:kern w:val="2"/>
        </w:rPr>
        <w:t>Main Features：</w:t>
      </w:r>
    </w:p>
    <w:p w14:paraId="7E0FF0A1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 xml:space="preserve">●A variety of working heads of different specifications to meet the processing capacity of 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0.000</w:t>
      </w:r>
      <w:r>
        <w:rPr>
          <w:rFonts w:hint="eastAsia" w:cs="Times New Roman"/>
          <w:color w:val="2F5597" w:themeColor="accent1" w:themeShade="BF"/>
          <w:kern w:val="2"/>
        </w:rPr>
        <w:t>2~10L;</w:t>
      </w:r>
    </w:p>
    <w:p w14:paraId="51ED3C35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0~999min timing range, the instrument stops automatically after the operation is over;</w:t>
      </w:r>
    </w:p>
    <w:p w14:paraId="0F5EA9BC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High speed motor with brushless motor and long life design for continuous and long time stable operation;</w:t>
      </w:r>
    </w:p>
    <w:p w14:paraId="2D3933EB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The highest speed can reach 30,000rpm, providing you with a maximum shear line speed of 27m/s;</w:t>
      </w:r>
    </w:p>
    <w:p w14:paraId="293E530C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The working head and machine base are made of stainless steel, corrosion resistant;</w:t>
      </w:r>
    </w:p>
    <w:p w14:paraId="38943174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Better sealing effect, unique stator-rotor structure, generating super strong shearing force, rapidly reducing the particle size, handling materials more finely and dispersing more uniformly.</w:t>
      </w:r>
    </w:p>
    <w:p w14:paraId="33A8D58E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</w:p>
    <w:p w14:paraId="1924F6A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bCs/>
          <w:color w:val="2F5597" w:themeColor="accent1" w:themeShade="BF"/>
          <w:kern w:val="2"/>
        </w:rPr>
        <w:t>Techncial Parameters：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4923"/>
      </w:tblGrid>
      <w:tr w14:paraId="66550C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D0F8DBE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Model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A1A8468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HZR-25</w:t>
            </w:r>
          </w:p>
        </w:tc>
      </w:tr>
      <w:tr w14:paraId="3F6836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62EDC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Item No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30E112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1004027001</w:t>
            </w:r>
          </w:p>
        </w:tc>
      </w:tr>
      <w:tr w14:paraId="58F819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6293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Motor power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CD79D4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1250W</w:t>
            </w:r>
          </w:p>
        </w:tc>
      </w:tr>
      <w:tr w14:paraId="1762B9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A3011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Motor type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63E6D0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DC brushless motor</w:t>
            </w:r>
          </w:p>
        </w:tc>
      </w:tr>
      <w:tr w14:paraId="3AAAB2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41F7E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Speed range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5333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7500~30000rpm</w:t>
            </w:r>
          </w:p>
        </w:tc>
      </w:tr>
      <w:tr w14:paraId="705DDC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91E1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Speed control mode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09D6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Gear adjustment</w:t>
            </w:r>
          </w:p>
        </w:tc>
      </w:tr>
      <w:tr w14:paraId="292E4B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5C7D4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Speed display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DCFA6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Scale display</w:t>
            </w:r>
          </w:p>
        </w:tc>
      </w:tr>
      <w:tr w14:paraId="7C3089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416AA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Capacity（H20）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64827D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1-30L/min</w:t>
            </w:r>
          </w:p>
        </w:tc>
      </w:tr>
      <w:tr w14:paraId="16FF27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CEF0B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Max viscosity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35970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10000CP</w:t>
            </w:r>
          </w:p>
        </w:tc>
      </w:tr>
      <w:tr w14:paraId="4CC2CC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700D0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Standard working head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7BA8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25DG</w:t>
            </w:r>
          </w:p>
        </w:tc>
      </w:tr>
      <w:tr w14:paraId="56AF70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BDDC0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Standard working chamber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834AA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Stainless steel non-jacketed working chamber</w:t>
            </w:r>
          </w:p>
        </w:tc>
      </w:tr>
      <w:tr w14:paraId="7F4767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59FE5A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Contact material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683E3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SUS316L</w:t>
            </w:r>
          </w:p>
        </w:tc>
      </w:tr>
      <w:tr w14:paraId="23578A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C9448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Mechanical seal material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6D6DC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SiC</w:t>
            </w:r>
          </w:p>
        </w:tc>
      </w:tr>
      <w:tr w14:paraId="5B8FC0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0979E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Inlet and outlet outer diameter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22307F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14 (hose interface)</w:t>
            </w:r>
          </w:p>
        </w:tc>
      </w:tr>
      <w:tr w14:paraId="4F129C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1D8B2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Overall dimension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B8C1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460×120×120mm</w:t>
            </w:r>
          </w:p>
        </w:tc>
      </w:tr>
      <w:tr w14:paraId="74636C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F2C36F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Working bracket, base, disassembler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C4DD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 Stainless steel standard</w:t>
            </w:r>
          </w:p>
        </w:tc>
      </w:tr>
      <w:tr w14:paraId="2A3234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13020A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Power supply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74B79A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220V/50Hz</w:t>
            </w:r>
          </w:p>
        </w:tc>
      </w:tr>
      <w:tr w14:paraId="2EE844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3FEAFD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Allowable ambient temperature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BB59D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5-40℃</w:t>
            </w:r>
          </w:p>
        </w:tc>
      </w:tr>
      <w:tr w14:paraId="2131EE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BFEC1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Allowable ambient humidity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8FCE34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80%</w:t>
            </w:r>
          </w:p>
        </w:tc>
      </w:tr>
    </w:tbl>
    <w:p w14:paraId="21957E49">
      <w:pPr>
        <w:pStyle w:val="10"/>
        <w:spacing w:before="0" w:beforeAutospacing="0" w:after="0" w:afterAutospacing="0" w:line="360" w:lineRule="auto"/>
        <w:rPr>
          <w:rFonts w:hint="default"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7E790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119479E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A8547E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3284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26E58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CE0DA3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6315FC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962B4"/>
    <w:rsid w:val="000A30B6"/>
    <w:rsid w:val="000F0EE7"/>
    <w:rsid w:val="00172A27"/>
    <w:rsid w:val="001C2F0D"/>
    <w:rsid w:val="0020067A"/>
    <w:rsid w:val="00227827"/>
    <w:rsid w:val="00262F28"/>
    <w:rsid w:val="00280484"/>
    <w:rsid w:val="002B6FFF"/>
    <w:rsid w:val="002C5701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08F8"/>
    <w:rsid w:val="00535C95"/>
    <w:rsid w:val="00580C1D"/>
    <w:rsid w:val="00596893"/>
    <w:rsid w:val="005A5BBC"/>
    <w:rsid w:val="005D557C"/>
    <w:rsid w:val="006029C9"/>
    <w:rsid w:val="0069114D"/>
    <w:rsid w:val="00741072"/>
    <w:rsid w:val="007650E0"/>
    <w:rsid w:val="007A51F4"/>
    <w:rsid w:val="00854961"/>
    <w:rsid w:val="008B2ECB"/>
    <w:rsid w:val="00955DE4"/>
    <w:rsid w:val="00965677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C031F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012812"/>
    <w:rsid w:val="091F1204"/>
    <w:rsid w:val="0A184A29"/>
    <w:rsid w:val="0A366F57"/>
    <w:rsid w:val="0A965B96"/>
    <w:rsid w:val="0BDD515C"/>
    <w:rsid w:val="0D121F4F"/>
    <w:rsid w:val="0F222773"/>
    <w:rsid w:val="10C02CE0"/>
    <w:rsid w:val="10E60B82"/>
    <w:rsid w:val="11385EB2"/>
    <w:rsid w:val="117D1E52"/>
    <w:rsid w:val="125910CE"/>
    <w:rsid w:val="12F323D9"/>
    <w:rsid w:val="13377D20"/>
    <w:rsid w:val="15597CB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F476D4"/>
    <w:rsid w:val="1B766130"/>
    <w:rsid w:val="1B871C86"/>
    <w:rsid w:val="1BAF5F2B"/>
    <w:rsid w:val="1C4A28F1"/>
    <w:rsid w:val="1C8D4EFF"/>
    <w:rsid w:val="1E486378"/>
    <w:rsid w:val="1EFF500A"/>
    <w:rsid w:val="1F995798"/>
    <w:rsid w:val="205E5211"/>
    <w:rsid w:val="2159429D"/>
    <w:rsid w:val="216A23E2"/>
    <w:rsid w:val="22E601DB"/>
    <w:rsid w:val="23243285"/>
    <w:rsid w:val="241D3C4F"/>
    <w:rsid w:val="246A0583"/>
    <w:rsid w:val="2490475D"/>
    <w:rsid w:val="24AE6CFC"/>
    <w:rsid w:val="24E0163D"/>
    <w:rsid w:val="256B7310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FE7898"/>
    <w:rsid w:val="34121BAC"/>
    <w:rsid w:val="345D3C8D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F56267F"/>
    <w:rsid w:val="40764144"/>
    <w:rsid w:val="410B44C7"/>
    <w:rsid w:val="423E700D"/>
    <w:rsid w:val="43135709"/>
    <w:rsid w:val="43EA5F2F"/>
    <w:rsid w:val="442711AA"/>
    <w:rsid w:val="44B068C9"/>
    <w:rsid w:val="44CA5428"/>
    <w:rsid w:val="45112BBF"/>
    <w:rsid w:val="498B526A"/>
    <w:rsid w:val="4A075C8C"/>
    <w:rsid w:val="4A527F2C"/>
    <w:rsid w:val="4AA4627F"/>
    <w:rsid w:val="4ADC76DB"/>
    <w:rsid w:val="4CA81950"/>
    <w:rsid w:val="4D4E77F2"/>
    <w:rsid w:val="4E931B10"/>
    <w:rsid w:val="4FD73045"/>
    <w:rsid w:val="50D8413E"/>
    <w:rsid w:val="51C771E3"/>
    <w:rsid w:val="51F9487C"/>
    <w:rsid w:val="52EE746C"/>
    <w:rsid w:val="5452446D"/>
    <w:rsid w:val="563C7D3B"/>
    <w:rsid w:val="567A4548"/>
    <w:rsid w:val="56C210E8"/>
    <w:rsid w:val="576F688D"/>
    <w:rsid w:val="5826783E"/>
    <w:rsid w:val="58926505"/>
    <w:rsid w:val="58B5073F"/>
    <w:rsid w:val="58C6092D"/>
    <w:rsid w:val="58F34817"/>
    <w:rsid w:val="591C6583"/>
    <w:rsid w:val="594D1214"/>
    <w:rsid w:val="59AB3574"/>
    <w:rsid w:val="5A0B41CF"/>
    <w:rsid w:val="5BDA755D"/>
    <w:rsid w:val="5DDC6E97"/>
    <w:rsid w:val="5E6734F1"/>
    <w:rsid w:val="5F535179"/>
    <w:rsid w:val="607225C9"/>
    <w:rsid w:val="608B6872"/>
    <w:rsid w:val="61C3621C"/>
    <w:rsid w:val="61FA2450"/>
    <w:rsid w:val="624F31B6"/>
    <w:rsid w:val="626F460D"/>
    <w:rsid w:val="62737F03"/>
    <w:rsid w:val="62BD7680"/>
    <w:rsid w:val="63A454EE"/>
    <w:rsid w:val="63B80222"/>
    <w:rsid w:val="63EE1AA4"/>
    <w:rsid w:val="64BB3B0A"/>
    <w:rsid w:val="65173864"/>
    <w:rsid w:val="67074C35"/>
    <w:rsid w:val="67B86FD5"/>
    <w:rsid w:val="68260E9F"/>
    <w:rsid w:val="68CC736B"/>
    <w:rsid w:val="69A05A18"/>
    <w:rsid w:val="6A3B31C6"/>
    <w:rsid w:val="6AB4227F"/>
    <w:rsid w:val="6B3B6611"/>
    <w:rsid w:val="6B5251F4"/>
    <w:rsid w:val="6B6C7258"/>
    <w:rsid w:val="6BA7011A"/>
    <w:rsid w:val="6DFB560B"/>
    <w:rsid w:val="6F17421F"/>
    <w:rsid w:val="6F580A9B"/>
    <w:rsid w:val="6F7B3153"/>
    <w:rsid w:val="6F975B11"/>
    <w:rsid w:val="70223419"/>
    <w:rsid w:val="71E561F0"/>
    <w:rsid w:val="73587C07"/>
    <w:rsid w:val="737F1A45"/>
    <w:rsid w:val="73974732"/>
    <w:rsid w:val="73FE7D5C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B03A7"/>
    <w:rsid w:val="7B965710"/>
    <w:rsid w:val="7BD9357E"/>
    <w:rsid w:val="7BE22C75"/>
    <w:rsid w:val="7C2B72D1"/>
    <w:rsid w:val="7CAD3559"/>
    <w:rsid w:val="7D2F0EA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464CC-C494-4D3E-A027-5470E4ED0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282</Words>
  <Characters>1681</Characters>
  <Lines>5</Lines>
  <Paragraphs>1</Paragraphs>
  <TotalTime>0</TotalTime>
  <ScaleCrop>false</ScaleCrop>
  <LinksUpToDate>false</LinksUpToDate>
  <CharactersWithSpaces>1907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周礼霞</cp:lastModifiedBy>
  <dcterms:modified xsi:type="dcterms:W3CDTF">2025-12-29T09:04:32Z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9AC4D5184810497BBB130FAE6F479498_12</vt:lpwstr>
  </property>
  <property fmtid="{D5CDD505-2E9C-101B-9397-08002B2CF9AE}" pid="4" name="KSOTemplateDocerSaveRecord">
    <vt:lpwstr>eyJoZGlkIjoiYmE5NGUwNGM5YjZkNjVkN2E3Mjg5ZjMyNTQxNDI1YmQiLCJ1c2VySWQiOiIyMDk3Njk3NDYifQ==</vt:lpwstr>
  </property>
</Properties>
</file>